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EF3C" w14:textId="77777777" w:rsidR="00A1141A" w:rsidRPr="00153EF0" w:rsidRDefault="00A1141A" w:rsidP="00A1141A">
      <w:pPr>
        <w:jc w:val="both"/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PROVINCIA DE BUENOS AIRES</w:t>
      </w:r>
    </w:p>
    <w:p w14:paraId="0543925D" w14:textId="77777777" w:rsidR="00A1141A" w:rsidRPr="00153EF0" w:rsidRDefault="00A1141A" w:rsidP="00A1141A">
      <w:pPr>
        <w:jc w:val="both"/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DIRECCIÓN GENERAL DE </w:t>
      </w:r>
      <w:proofErr w:type="gramStart"/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CULTURA  Y</w:t>
      </w:r>
      <w:proofErr w:type="gramEnd"/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 EDUCACIÓN</w:t>
      </w:r>
    </w:p>
    <w:p w14:paraId="0C52AACB" w14:textId="77777777" w:rsidR="00A1141A" w:rsidRPr="00153EF0" w:rsidRDefault="00A1141A" w:rsidP="00A1141A">
      <w:pPr>
        <w:jc w:val="both"/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DIRECCIÓN DE EDUCACIÓN SUPERIOR</w:t>
      </w:r>
    </w:p>
    <w:p w14:paraId="5A6ED947" w14:textId="77777777" w:rsidR="00A1141A" w:rsidRPr="00153EF0" w:rsidRDefault="00A1141A" w:rsidP="00A1141A">
      <w:pPr>
        <w:jc w:val="both"/>
        <w:rPr>
          <w:b/>
          <w:i/>
          <w:color w:val="0F243E" w:themeColor="text2" w:themeShade="80"/>
          <w:sz w:val="28"/>
          <w:szCs w:val="28"/>
          <w:lang w:val="es-ES_tradnl"/>
        </w:rPr>
      </w:pPr>
    </w:p>
    <w:p w14:paraId="69926716" w14:textId="77777777" w:rsidR="00A1141A" w:rsidRPr="00153EF0" w:rsidRDefault="00A1141A" w:rsidP="00A1141A">
      <w:pPr>
        <w:jc w:val="both"/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INSTITUTO SUPERIOR DE FORMACIÓN DOCENTE </w:t>
      </w:r>
    </w:p>
    <w:p w14:paraId="30899F38" w14:textId="77777777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Y TÉCNICA   </w:t>
      </w:r>
      <w:proofErr w:type="spellStart"/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Nº</w:t>
      </w:r>
      <w:proofErr w:type="spellEnd"/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 46</w:t>
      </w:r>
    </w:p>
    <w:p w14:paraId="2AADF439" w14:textId="77777777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CARRERA</w:t>
      </w: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: TECNICATURA SUPERIOR EN PSICOPEDAGOGÍA </w:t>
      </w:r>
    </w:p>
    <w:p w14:paraId="6E7EF01E" w14:textId="77777777" w:rsidR="00A1141A" w:rsidRPr="00153EF0" w:rsidRDefault="00A1141A" w:rsidP="00A1141A">
      <w:pPr>
        <w:rPr>
          <w:b/>
          <w:i/>
          <w:color w:val="0F243E" w:themeColor="text2" w:themeShade="80"/>
          <w:lang w:val="es-ES_tradnl"/>
        </w:rPr>
      </w:pPr>
    </w:p>
    <w:p w14:paraId="16CE9EB2" w14:textId="77777777" w:rsidR="00A1141A" w:rsidRPr="00153EF0" w:rsidRDefault="00A1141A" w:rsidP="00A1141A">
      <w:pPr>
        <w:rPr>
          <w:b/>
          <w:i/>
          <w:color w:val="0F243E" w:themeColor="text2" w:themeShade="80"/>
          <w:sz w:val="30"/>
          <w:szCs w:val="30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CÁTEDRA</w:t>
      </w:r>
      <w:r w:rsidRPr="00153EF0">
        <w:rPr>
          <w:b/>
          <w:i/>
          <w:color w:val="0F243E" w:themeColor="text2" w:themeShade="80"/>
          <w:sz w:val="30"/>
          <w:szCs w:val="30"/>
          <w:lang w:val="es-ES_tradnl"/>
        </w:rPr>
        <w:t xml:space="preserve"> PEDAGOGÍA</w:t>
      </w:r>
    </w:p>
    <w:p w14:paraId="0FAAC671" w14:textId="77777777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CURSO</w:t>
      </w: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: 1RO “A”</w:t>
      </w:r>
    </w:p>
    <w:p w14:paraId="258BA43C" w14:textId="74071E1D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CICLO LECTIVO</w:t>
      </w: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:</w:t>
      </w:r>
      <w:r w:rsidR="004326F2" w:rsidRPr="00153EF0">
        <w:rPr>
          <w:b/>
          <w:i/>
          <w:color w:val="0F243E" w:themeColor="text2" w:themeShade="80"/>
          <w:sz w:val="28"/>
          <w:szCs w:val="28"/>
          <w:lang w:val="es-ES_tradnl"/>
        </w:rPr>
        <w:t xml:space="preserve"> 2</w:t>
      </w:r>
      <w:bookmarkStart w:id="0" w:name="_GoBack"/>
      <w:bookmarkEnd w:id="0"/>
      <w:r w:rsidR="004326F2" w:rsidRPr="00153EF0">
        <w:rPr>
          <w:b/>
          <w:i/>
          <w:color w:val="0F243E" w:themeColor="text2" w:themeShade="80"/>
          <w:sz w:val="28"/>
          <w:szCs w:val="28"/>
          <w:lang w:val="es-ES_tradnl"/>
        </w:rPr>
        <w:t>019</w:t>
      </w:r>
    </w:p>
    <w:p w14:paraId="79285AB3" w14:textId="77777777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CARGA HORARIA SEMANAL</w:t>
      </w: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: 2 MÓDULOS.</w:t>
      </w:r>
    </w:p>
    <w:p w14:paraId="1C2C7B1E" w14:textId="77777777" w:rsidR="00A1141A" w:rsidRPr="00153EF0" w:rsidRDefault="00A1141A" w:rsidP="00A1141A">
      <w:pPr>
        <w:rPr>
          <w:b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b/>
          <w:i/>
          <w:color w:val="0F243E" w:themeColor="text2" w:themeShade="80"/>
          <w:sz w:val="28"/>
          <w:szCs w:val="28"/>
          <w:u w:val="single"/>
          <w:lang w:val="es-ES_tradnl"/>
        </w:rPr>
        <w:t>PROFESORA</w:t>
      </w:r>
      <w:r w:rsidRPr="00153EF0">
        <w:rPr>
          <w:b/>
          <w:i/>
          <w:color w:val="0F243E" w:themeColor="text2" w:themeShade="80"/>
          <w:sz w:val="28"/>
          <w:szCs w:val="28"/>
          <w:lang w:val="es-ES_tradnl"/>
        </w:rPr>
        <w:t>: ANA CLARISA MAYORGA</w:t>
      </w:r>
    </w:p>
    <w:p w14:paraId="717BEB9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3A08DFF6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0184A288" w14:textId="77777777" w:rsidR="00A1141A" w:rsidRPr="00153EF0" w:rsidRDefault="00A1141A" w:rsidP="00A1141A">
      <w:pPr>
        <w:jc w:val="center"/>
        <w:rPr>
          <w:rFonts w:ascii="Arial" w:hAnsi="Arial" w:cs="Arial"/>
          <w:i/>
          <w:color w:val="0F243E" w:themeColor="text2" w:themeShade="80"/>
          <w:sz w:val="36"/>
          <w:szCs w:val="36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sz w:val="36"/>
          <w:szCs w:val="36"/>
          <w:u w:val="single"/>
          <w:lang w:val="es-ES_tradnl"/>
        </w:rPr>
        <w:t>PROGRAMA DE PEDAGOGÍA</w:t>
      </w:r>
    </w:p>
    <w:p w14:paraId="585BFDCB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sz w:val="32"/>
          <w:szCs w:val="32"/>
          <w:u w:val="single"/>
          <w:lang w:val="es-ES_tradnl"/>
        </w:rPr>
      </w:pPr>
    </w:p>
    <w:p w14:paraId="5C242C0A" w14:textId="77777777" w:rsidR="00A1141A" w:rsidRPr="00153EF0" w:rsidRDefault="00A1141A" w:rsidP="00A1141A">
      <w:pPr>
        <w:ind w:firstLine="480"/>
        <w:jc w:val="both"/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  <w:t>FUNDAMENTACIÓN</w:t>
      </w:r>
    </w:p>
    <w:p w14:paraId="72BA5206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70E99A93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Pedagogía se encuentra ubicada en el primer año de la Tecnicatura en Psicopedagogía,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dentro  del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Campo de la Formación de Fundamento.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Constituye  una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de las bases  para la  reflexión acerca del accionar pedagógico  durante la formación y para la práctica futura.</w:t>
      </w:r>
    </w:p>
    <w:p w14:paraId="4CDBF6E8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D9C05B6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En el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transcurso  de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la cursada,   se posibilitará el posicionamiento  del educando como  futuro psicopedagogo  en un contexto social complejo. </w:t>
      </w:r>
    </w:p>
    <w:p w14:paraId="5593F261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7C65638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Desde la cátedra se concibe a la Pedagogía como reflexión teórica acerca de la educación en contextos sociales e históricos determinados y se propone abordar la educación como eje central de la materia, desde una perspectiva situada, es decir, considerando los contextos (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socio-históricos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determinados) y los sujetos involucrados. </w:t>
      </w:r>
    </w:p>
    <w:p w14:paraId="7EE67A28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AE94C3C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Entendiendo al conocimiento como un proceso dialéctico que permite comprender y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transformar  la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realidad y no como algo dado y acabado; se pretende estimular en el futuro psicopedagogo, la problematización de la educación y la superación de posturas deterministas, a través de una actitud crítica y reflexiva que permita nuevas formas de pensar la realidad.</w:t>
      </w:r>
    </w:p>
    <w:p w14:paraId="131E95CE" w14:textId="77777777" w:rsidR="00A1141A" w:rsidRPr="00153EF0" w:rsidRDefault="00A1141A" w:rsidP="00A1141A">
      <w:pPr>
        <w:ind w:firstLine="426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</w:p>
    <w:p w14:paraId="1765CAFE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      Es por ello que, concibiendo al aula como un espacio social simbólico en el que intervienen múltiples variables, la propuesta didáctica está centrada en fomentar en las clases el análisis y  la reflexión permanente, que permita a los futuros psicopedagogos  analizar: la pedagogía  como reflexión teórica acerca de la educación; la educación como práctica  social, productora, reproductora y transformadora del sujeto social; distintas formas de institucionalización de la educación y su influencia en la construcción de subjetividades; la escuela en el contexto de la modernidad y en la crisis de la modernidad; la infancia como categoría moderna; las  corrientes pedagógicas, el contexto histórico, social y político  en que  surgieron los  Sistemas Educativos Nacionales; el Sistema Educativo  Argentino y su relación  con la formación del Estado Nacional y la  educación argentina en la actualidad.</w:t>
      </w:r>
    </w:p>
    <w:p w14:paraId="37292CDE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41AB1C23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Siguiendo la propuesta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 Paulo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Freire,  a partir  de diversas actividades, se favorecerá la “lectura del mundo” para intervenir en él. Se busca de esta manera, promover la adquisición de los saberes necesarios para   el desarrollo de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una  práctica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educativa crítica.</w:t>
      </w:r>
    </w:p>
    <w:p w14:paraId="5C633C3C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lastRenderedPageBreak/>
        <w:t xml:space="preserve"> </w:t>
      </w:r>
    </w:p>
    <w:p w14:paraId="660ABB9C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Se considera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además,  que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la relación docente- alumno  está regulada por el contrato didáctico que es necesario develar y explicitar en el marco de lo posible.</w:t>
      </w:r>
    </w:p>
    <w:p w14:paraId="44CC4C81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C9FBBDD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Es mediante los saberes pedagógicos que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se  pretende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iniciar a los educandos  en un proceso  de permanente reflexión  en torno a la comprensión e intervención crítica en los espacios áulico, institucional y social.</w:t>
      </w:r>
    </w:p>
    <w:p w14:paraId="46F706AB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     Se buscará aportar al futuro egresado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herramientas  pedagógicas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básicas para su accionar,  para pensar y  analizar  la educación  como  práctica social compleja,  productora, reproductora y transformadora del sujeto social.</w:t>
      </w:r>
    </w:p>
    <w:p w14:paraId="0DC7B1DB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40FEC8F8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Considerando que el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alumno  de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Educación Superior  es un sujeto en formación que se constituirá en psicopedagogo,  es fundamental  que se apropie de una perspectiva pedagógica que le permita un adecuado y responsable abordaje de su tarea; pues en cualquier forma que adopte, la intervención psicopedagógica requiere del dominio de recursos  para actuar con idoneidad, pertinencia y adecuación  a las necesidades de sus destinatarios y de la comunidad a la que pertenecen. </w:t>
      </w:r>
    </w:p>
    <w:p w14:paraId="0970A498" w14:textId="77777777" w:rsidR="00A1141A" w:rsidRPr="00153EF0" w:rsidRDefault="00A1141A" w:rsidP="00A1141A">
      <w:pPr>
        <w:ind w:firstLine="426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 </w:t>
      </w:r>
    </w:p>
    <w:p w14:paraId="41670E2C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997753E" w14:textId="77777777" w:rsidR="00A1141A" w:rsidRPr="00153EF0" w:rsidRDefault="00A1141A" w:rsidP="00A1141A">
      <w:pPr>
        <w:ind w:firstLine="480"/>
        <w:jc w:val="both"/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  <w:t>EXPECTATIVAS DE LOGRO</w:t>
      </w:r>
    </w:p>
    <w:p w14:paraId="32799B66" w14:textId="77777777" w:rsidR="00A1141A" w:rsidRPr="00153EF0" w:rsidRDefault="00A1141A" w:rsidP="00A1141A">
      <w:pPr>
        <w:ind w:firstLine="480"/>
        <w:jc w:val="both"/>
        <w:rPr>
          <w:rFonts w:ascii="Arial" w:hAnsi="Arial" w:cs="Arial"/>
          <w:i/>
          <w:color w:val="0F243E" w:themeColor="text2" w:themeShade="80"/>
          <w:sz w:val="28"/>
          <w:szCs w:val="28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sz w:val="28"/>
          <w:szCs w:val="28"/>
          <w:lang w:val="es-ES_tradnl"/>
        </w:rPr>
        <w:t>Los alumnos podrán:</w:t>
      </w:r>
    </w:p>
    <w:p w14:paraId="7E4B63A7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D3B0870" w14:textId="77777777" w:rsidR="00A1141A" w:rsidRPr="00153EF0" w:rsidRDefault="00A1141A" w:rsidP="00A1141A">
      <w:pPr>
        <w:pStyle w:val="Prrafodelista"/>
        <w:numPr>
          <w:ilvl w:val="0"/>
          <w:numId w:val="8"/>
        </w:numPr>
        <w:ind w:left="1134" w:hanging="425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Abordar la Educación como una práctica social productora, reproductora y transformadora del sujeto social.</w:t>
      </w:r>
    </w:p>
    <w:p w14:paraId="4CBF7373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67BCD68C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Elaborar, reelaborar y establecer relaciones entre los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conocimientos  pedagógicos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a partir de la bibliografía trabajada.</w:t>
      </w:r>
    </w:p>
    <w:p w14:paraId="527F958B" w14:textId="77777777" w:rsidR="00A1141A" w:rsidRPr="00153EF0" w:rsidRDefault="00A1141A" w:rsidP="00A1141A">
      <w:pPr>
        <w:pStyle w:val="Prrafodelista"/>
        <w:ind w:hanging="502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0398E9CA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Analizar el Sistema Educativo Argentino teniendo en cuenta el contexto en que se constituye.</w:t>
      </w:r>
    </w:p>
    <w:p w14:paraId="1C4D9A44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6823D8CD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Revisar supuestos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y  el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pensamiento  práctico implicados en las prácticas educativas.  </w:t>
      </w:r>
    </w:p>
    <w:p w14:paraId="42410FDB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550A272A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Desarrollar habilidades profesionales específicas para la intervención pedagógica.</w:t>
      </w:r>
    </w:p>
    <w:p w14:paraId="018D5199" w14:textId="77777777" w:rsidR="00A1141A" w:rsidRPr="00153EF0" w:rsidRDefault="00A1141A" w:rsidP="00A1141A">
      <w:pPr>
        <w:pStyle w:val="Prrafodelista"/>
        <w:ind w:hanging="502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5801E2B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Analizar las corrientes pedagógicas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acuerdo al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contexto en que surgieron. </w:t>
      </w:r>
    </w:p>
    <w:p w14:paraId="3F122B51" w14:textId="77777777" w:rsidR="00A1141A" w:rsidRPr="00153EF0" w:rsidRDefault="00A1141A" w:rsidP="00A1141A">
      <w:pPr>
        <w:numPr>
          <w:ilvl w:val="0"/>
          <w:numId w:val="7"/>
        </w:num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Reconocer el trabajo grupal como facilitador del aprendizaje. </w:t>
      </w:r>
    </w:p>
    <w:p w14:paraId="3714A3A5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DD6D19A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533C090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sz w:val="32"/>
          <w:szCs w:val="32"/>
          <w:lang w:val="es-ES_tradnl"/>
        </w:rPr>
        <w:t xml:space="preserve">           </w:t>
      </w:r>
      <w:r w:rsidRPr="00153EF0"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  <w:t>PROPÓSITOS DEL DOCENTE</w:t>
      </w:r>
    </w:p>
    <w:p w14:paraId="4D6F0FF4" w14:textId="77777777" w:rsidR="00A1141A" w:rsidRPr="00153EF0" w:rsidRDefault="00A1141A" w:rsidP="00A1141A">
      <w:pPr>
        <w:ind w:hanging="502"/>
        <w:jc w:val="both"/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  <w:lang w:val="es-ES_tradnl"/>
        </w:rPr>
      </w:pPr>
    </w:p>
    <w:p w14:paraId="38C3F3F5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Promover el análisis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 la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educación como práctica social, histórica y cultural.</w:t>
      </w:r>
    </w:p>
    <w:p w14:paraId="5072E28F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26A58A5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Propiciar el abordaje de la práctica educativa como productora, reproductora y transformadora del sujeto social.</w:t>
      </w:r>
    </w:p>
    <w:p w14:paraId="24D7A3D6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7FB4FFD0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Favorecer la elaboración y reelaboración de conocimientos pedagógicos.</w:t>
      </w:r>
    </w:p>
    <w:p w14:paraId="5DC6BBCE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C1FC7BF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Proponer una línea de debate acerca del carácter político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y  social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de la educación.</w:t>
      </w:r>
    </w:p>
    <w:p w14:paraId="5A3EB22B" w14:textId="77777777" w:rsidR="00A1141A" w:rsidRPr="00153EF0" w:rsidRDefault="00A1141A" w:rsidP="00A1141A">
      <w:pPr>
        <w:pStyle w:val="Prrafodelista"/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3245F5E9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lastRenderedPageBreak/>
        <w:t>Ofrecer una propuesta académica en la que la responsabilidad profesional de la docente se corresponda con el derecho a aprender y estudiar con seriedad de los alumnos.</w:t>
      </w:r>
    </w:p>
    <w:p w14:paraId="40F7C0C3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7BAADFDD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Propiciar el análisis de contexto histórico y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político  en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donde surge el sistema educativo en la Argentina.</w:t>
      </w:r>
    </w:p>
    <w:p w14:paraId="655B181F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72B93A65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Promover el abordaje de la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educación  desde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distintas perspectivas: social, política, económica e histórica.</w:t>
      </w:r>
    </w:p>
    <w:p w14:paraId="47022C6D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396F35A1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Favorecer el desarrollo de habilidades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profesionales  específicas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para la intervención   pedagógica.</w:t>
      </w:r>
    </w:p>
    <w:p w14:paraId="7A6927C5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F2798F1" w14:textId="77777777" w:rsidR="00A1141A" w:rsidRPr="00153EF0" w:rsidRDefault="00A1141A" w:rsidP="00A1141A">
      <w:pPr>
        <w:numPr>
          <w:ilvl w:val="0"/>
          <w:numId w:val="1"/>
        </w:numPr>
        <w:tabs>
          <w:tab w:val="clear" w:pos="720"/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Propiciar el análisis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 las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diversas corrientes pedagógicas en el contexto donde surgieron.</w:t>
      </w:r>
    </w:p>
    <w:p w14:paraId="1D233071" w14:textId="77777777" w:rsidR="00A1141A" w:rsidRPr="00153EF0" w:rsidRDefault="00A1141A" w:rsidP="00A1141A">
      <w:pPr>
        <w:tabs>
          <w:tab w:val="num" w:pos="1134"/>
        </w:tabs>
        <w:ind w:left="1134" w:hanging="567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A061F3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7E760D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sz w:val="32"/>
          <w:szCs w:val="32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sz w:val="32"/>
          <w:szCs w:val="32"/>
          <w:u w:val="single"/>
          <w:lang w:val="es-ES_tradnl"/>
        </w:rPr>
        <w:t xml:space="preserve"> DESARROLLO DEL PROGRAMA DE CONTENIDOS</w:t>
      </w:r>
    </w:p>
    <w:p w14:paraId="527BAB6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6D6B0280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UNIDAD I: Educación, escuela y pedagogía</w:t>
      </w:r>
    </w:p>
    <w:p w14:paraId="3D4BED46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</w:p>
    <w:p w14:paraId="24DA6B2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La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pedagogía  como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reflexión teórica acerca de la educación.</w:t>
      </w:r>
    </w:p>
    <w:p w14:paraId="6A4E6188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La educación como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práctica  social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 productora, reproductora y transformadora del sujeto social.</w:t>
      </w:r>
    </w:p>
    <w:p w14:paraId="5C00837C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Educación, escuela y pedagogía. </w:t>
      </w:r>
    </w:p>
    <w:p w14:paraId="1AC1072A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Distintas formas de institucionalización de la educación.</w:t>
      </w:r>
    </w:p>
    <w:p w14:paraId="7A3C84E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La educación en la construcción de subjetividades. Educación y poder.</w:t>
      </w:r>
    </w:p>
    <w:p w14:paraId="7EC4CB3E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La escuela en el contexto de la modernidad. </w:t>
      </w:r>
    </w:p>
    <w:p w14:paraId="5EB604A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La escuela en la crisis de la modernidad.</w:t>
      </w:r>
    </w:p>
    <w:p w14:paraId="07DC7F1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La infancia como categoría propia de la modernidad.</w:t>
      </w:r>
    </w:p>
    <w:p w14:paraId="31054138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</w:p>
    <w:p w14:paraId="31A3D856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u w:val="single"/>
          <w:lang w:val="es-ES_tradnl"/>
        </w:rPr>
        <w:t>Bibliografía obligatoria</w:t>
      </w:r>
    </w:p>
    <w:p w14:paraId="75AF30A8" w14:textId="77777777" w:rsidR="00B868F9" w:rsidRPr="00153EF0" w:rsidRDefault="00B868F9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5CEA9FEE" w14:textId="77777777" w:rsidR="00B868F9" w:rsidRPr="00153EF0" w:rsidRDefault="00B868F9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Antelo,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E. </w:t>
      </w:r>
      <w:r w:rsidR="006B79B6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N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otas sobre la (incalculable) experiencia de educar.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>En E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ducar: ese acto político</w:t>
      </w:r>
      <w:proofErr w:type="gramStart"/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.</w:t>
      </w:r>
      <w:proofErr w:type="gramEnd"/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Bs. As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Editorial del Estante</w:t>
      </w:r>
      <w:proofErr w:type="gramStart"/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>. ,</w:t>
      </w:r>
      <w:proofErr w:type="gramEnd"/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2005</w:t>
      </w:r>
    </w:p>
    <w:p w14:paraId="300653E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7DCD10EA" w14:textId="77777777" w:rsidR="00A1141A" w:rsidRPr="00153EF0" w:rsidRDefault="00A1141A" w:rsidP="00A1141A">
      <w:pPr>
        <w:pStyle w:val="Prrafodelista"/>
        <w:spacing w:after="200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Bourdieu, Pierre.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Capital cultural, escuela y espacio social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México</w:t>
      </w:r>
      <w:r w:rsidR="00B868F9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Siglo XXI Editores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1997.Cap. 1 y 2. </w:t>
      </w:r>
    </w:p>
    <w:p w14:paraId="3F0EDEF6" w14:textId="77777777" w:rsidR="00A1141A" w:rsidRPr="00153EF0" w:rsidRDefault="00A1141A" w:rsidP="00A1141A">
      <w:pPr>
        <w:pStyle w:val="Prrafodelista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388C6A3F" w14:textId="77777777" w:rsidR="00A1141A" w:rsidRPr="00153EF0" w:rsidRDefault="00A1141A" w:rsidP="00A1141A">
      <w:pPr>
        <w:pStyle w:val="Prrafodelista"/>
        <w:spacing w:after="200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Degl´Innocenti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Marta.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Tensiones en la transmisión de la cultura</w:t>
      </w:r>
      <w:r w:rsidR="00B868F9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Bs. As.,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UNLZ,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Fac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de Cs Sociales,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2008.</w:t>
      </w:r>
    </w:p>
    <w:p w14:paraId="7DD4B56B" w14:textId="77777777" w:rsidR="00A1141A" w:rsidRPr="00153EF0" w:rsidRDefault="00A1141A" w:rsidP="00A1141A">
      <w:pPr>
        <w:spacing w:line="240" w:lineRule="exact"/>
        <w:ind w:left="357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440D576" w14:textId="77777777" w:rsidR="00A1141A" w:rsidRPr="00153EF0" w:rsidRDefault="00A1141A" w:rsidP="00A1141A">
      <w:pPr>
        <w:pStyle w:val="Prrafodelista"/>
        <w:spacing w:after="200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Gramnsci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Antonio.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Los intelectuales y la organización de la cultura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</w:t>
      </w:r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>Bs. As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>,</w:t>
      </w:r>
      <w:r w:rsidR="00153EF0"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>Ediciones Nueva Visión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 1997. Pág. 111 a 130.</w:t>
      </w:r>
    </w:p>
    <w:p w14:paraId="2649F8FE" w14:textId="77777777" w:rsidR="00A1141A" w:rsidRPr="00153EF0" w:rsidRDefault="00A1141A" w:rsidP="00A1141A">
      <w:pPr>
        <w:pStyle w:val="Prrafodelista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7EE1FC0A" w14:textId="77777777" w:rsidR="00A1141A" w:rsidRPr="00153EF0" w:rsidRDefault="00A1141A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Gvirtz,S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;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Grinberg,S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.; Abregú, V.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La educación ayer, hoy y mañana. El ABC de la Pedagogía.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Bs. As.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Aique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 2012. Cap. 1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y 2.</w:t>
      </w:r>
    </w:p>
    <w:p w14:paraId="3E8F0EAF" w14:textId="77777777" w:rsidR="009C63FF" w:rsidRPr="00153EF0" w:rsidRDefault="009C63FF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1331D94" w14:textId="77777777" w:rsidR="00A1141A" w:rsidRPr="00153EF0" w:rsidRDefault="00A1141A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Marques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Joseph.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No es natural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 en Para una sociología de la vida cotidiana.</w:t>
      </w:r>
    </w:p>
    <w:p w14:paraId="71026D9C" w14:textId="77777777" w:rsidR="00A1141A" w:rsidRPr="00153EF0" w:rsidRDefault="00A1141A" w:rsidP="00A1141A">
      <w:pPr>
        <w:pStyle w:val="Prrafodelista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533F861" w14:textId="77777777" w:rsidR="00A1141A" w:rsidRPr="00153EF0" w:rsidRDefault="00A1141A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Ministerio de Ed. De la Nación.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Especialización Docente del nivel Superior en Políticas y Programas </w:t>
      </w:r>
      <w:proofErr w:type="spellStart"/>
      <w:proofErr w:type="gram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Socioeducativos.PPL</w:t>
      </w:r>
      <w:proofErr w:type="spell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 clase</w:t>
      </w:r>
      <w:proofErr w:type="gram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1</w:t>
      </w:r>
      <w:r w:rsidR="006B79B6" w:rsidRPr="00153EF0">
        <w:rPr>
          <w:rFonts w:ascii="Arial" w:hAnsi="Arial" w:cs="Arial"/>
          <w:i/>
          <w:color w:val="0F243E" w:themeColor="text2" w:themeShade="80"/>
          <w:lang w:val="es-ES_tradnl"/>
        </w:rPr>
        <w:t>. Bs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As. ,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2015.</w:t>
      </w:r>
    </w:p>
    <w:p w14:paraId="35CC5AB6" w14:textId="77777777" w:rsidR="00A1141A" w:rsidRPr="00153EF0" w:rsidRDefault="00A1141A" w:rsidP="00B868F9">
      <w:pPr>
        <w:pStyle w:val="Prrafodelista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</w:p>
    <w:p w14:paraId="7BC0B7CE" w14:textId="77777777" w:rsidR="00A1141A" w:rsidRPr="00153EF0" w:rsidRDefault="00A1141A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lastRenderedPageBreak/>
        <w:t xml:space="preserve">Pineau, </w:t>
      </w:r>
      <w:proofErr w:type="spellStart"/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P.;Dussel</w:t>
      </w:r>
      <w:proofErr w:type="spellEnd"/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I.; Caruso, M.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La escuela como máquina de educar. 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Bs. As.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Paidós. Cap1. </w:t>
      </w:r>
    </w:p>
    <w:p w14:paraId="2B5842D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7407EB78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Tiempo estimado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: abril- mayo </w:t>
      </w:r>
    </w:p>
    <w:p w14:paraId="6EE1467D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</w:p>
    <w:p w14:paraId="535A18D4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</w:p>
    <w:p w14:paraId="42775AC0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UNIDAD II: Creación de los Sistemas Educativos</w:t>
      </w:r>
    </w:p>
    <w:p w14:paraId="77E15A8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B59F02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Contexto histórico, social y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político  del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surgimiento de los  Sistemas Educativos Nacionales. El Optimismo Pedagógico.</w:t>
      </w:r>
    </w:p>
    <w:p w14:paraId="645E507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El Sistema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Educativo  Argentino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y su relación  con la formación del Estado Nacional. </w:t>
      </w:r>
    </w:p>
    <w:p w14:paraId="1142F38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Orígenes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del  Magisterio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Argentino. La constitución del Magisterio como categoría social.</w:t>
      </w:r>
    </w:p>
    <w:p w14:paraId="508632C7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Las funciones de la escuela en el contexto de la modernidad.</w:t>
      </w:r>
    </w:p>
    <w:p w14:paraId="4756CBDE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7D7D9BD" w14:textId="77777777" w:rsidR="00A1141A" w:rsidRPr="00153EF0" w:rsidRDefault="00955101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</w:p>
    <w:p w14:paraId="5EC91C8C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Pr="00153EF0">
        <w:rPr>
          <w:rFonts w:ascii="Arial" w:hAnsi="Arial" w:cs="Arial"/>
          <w:i/>
          <w:color w:val="0F243E" w:themeColor="text2" w:themeShade="80"/>
          <w:u w:val="single"/>
          <w:lang w:val="es-ES_tradnl"/>
        </w:rPr>
        <w:t>Bibliografía obligatoria</w:t>
      </w:r>
    </w:p>
    <w:p w14:paraId="64590E7C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478D8CE7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Alliaud, Andrea,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Los maestros y su historia: los orígenes del Magisterio argentino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Bs.As. Granica.</w:t>
      </w:r>
    </w:p>
    <w:p w14:paraId="1C635C4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AD8BC68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Caruso, M; Dussel, I.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De Sarmiento a los </w:t>
      </w:r>
      <w:proofErr w:type="spell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Simpsons</w:t>
      </w:r>
      <w:proofErr w:type="spell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Cinco conceptos para pensar la educación contemporánea. Bs. As. Kapelusz, 1996. Cap. 5.</w:t>
      </w:r>
    </w:p>
    <w:p w14:paraId="57C0B1BB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66F2582" w14:textId="77777777" w:rsidR="00A1141A" w:rsidRPr="00153EF0" w:rsidRDefault="00A1141A" w:rsidP="00A1141A">
      <w:pPr>
        <w:tabs>
          <w:tab w:val="num" w:pos="1080"/>
        </w:tabs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Davini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M. C.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La formación docente en cuestión: política y pedagogía.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,Bs.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As. Paidós, 1995. Cap.1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 .</w:t>
      </w:r>
      <w:proofErr w:type="gramEnd"/>
    </w:p>
    <w:p w14:paraId="40FEA625" w14:textId="77777777" w:rsidR="00A1141A" w:rsidRPr="00153EF0" w:rsidRDefault="00A1141A" w:rsidP="00A1141A">
      <w:pPr>
        <w:tabs>
          <w:tab w:val="num" w:pos="1080"/>
        </w:tabs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438C2F2" w14:textId="77777777" w:rsidR="00A1141A" w:rsidRPr="00153EF0" w:rsidRDefault="00A1141A" w:rsidP="00A1141A">
      <w:pPr>
        <w:pStyle w:val="Prrafodelista"/>
        <w:spacing w:after="200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Instituto Superior de Formación y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Actualización  Docente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 Continua. Vocación Docente. Curso: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Gestión de la enseñanza en el aula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Módulo 1.</w:t>
      </w:r>
    </w:p>
    <w:p w14:paraId="109B67CD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Tiempo estimado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: junio- julio</w:t>
      </w:r>
    </w:p>
    <w:p w14:paraId="34E9EB8E" w14:textId="77777777" w:rsidR="00A1141A" w:rsidRPr="00153EF0" w:rsidRDefault="00A1141A" w:rsidP="00A1141A">
      <w:pPr>
        <w:ind w:left="84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CFE7663" w14:textId="77777777" w:rsidR="00A1141A" w:rsidRPr="00153EF0" w:rsidRDefault="00A1141A" w:rsidP="00A1141A">
      <w:pPr>
        <w:ind w:left="84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910789A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UNIDAD III: Corrientes pedagógicas</w:t>
      </w:r>
    </w:p>
    <w:p w14:paraId="27EF6E1C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</w:p>
    <w:p w14:paraId="275FEA8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Corrientes pedagógicas del siglo XX.</w:t>
      </w:r>
    </w:p>
    <w:p w14:paraId="25B6473E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Teorías del consenso. Teorías del conflicto.</w:t>
      </w:r>
    </w:p>
    <w:p w14:paraId="5CD7E073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Nuevas corrientes pedagógicas.</w:t>
      </w:r>
    </w:p>
    <w:p w14:paraId="60CA8E3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Antinomia: pedagogías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Desarrollistas(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la dependencia)- pedagogías de la Liberación.</w:t>
      </w:r>
    </w:p>
    <w:p w14:paraId="55BDD5A7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Paulo Freire. Pedagogía problematizadora. Lectura de la realidad y concientización.</w:t>
      </w:r>
    </w:p>
    <w:p w14:paraId="6EBA381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Tendencias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desescolaristas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Iván Illich.</w:t>
      </w:r>
    </w:p>
    <w:p w14:paraId="7905BA3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Pedagogías Autoritarias en América Latina.</w:t>
      </w:r>
    </w:p>
    <w:p w14:paraId="6BC4D7B8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799499AA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u w:val="single"/>
          <w:lang w:val="es-ES_tradnl"/>
        </w:rPr>
        <w:t>Bibliografía obligatoria</w:t>
      </w:r>
    </w:p>
    <w:p w14:paraId="54D7F748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7C366DFA" w14:textId="77777777" w:rsidR="00A1141A" w:rsidRPr="00153EF0" w:rsidRDefault="00A1141A" w:rsidP="00A1141A">
      <w:pPr>
        <w:tabs>
          <w:tab w:val="num" w:pos="1080"/>
        </w:tabs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Freire, Paulo.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El grito manso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</w:t>
      </w:r>
      <w:proofErr w:type="spellStart"/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Bs.As</w:t>
      </w:r>
      <w:proofErr w:type="spellEnd"/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Siglo XXI Editores, 2012. Cap. 3, 4 y 5.</w:t>
      </w:r>
    </w:p>
    <w:p w14:paraId="4F26147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02EB206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Gvirtz,S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;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Grinberg,S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.; Abregú, V.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La educación ayer, hoy y mañana. El ABC de la Pedagogía.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Bs. As.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Aique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2012. Cap.3 </w:t>
      </w:r>
    </w:p>
    <w:p w14:paraId="1145B6E1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3A858B77" w14:textId="77777777" w:rsidR="00A1141A" w:rsidRPr="00BF5690" w:rsidRDefault="00A1141A" w:rsidP="00A1141A">
      <w:pPr>
        <w:tabs>
          <w:tab w:val="num" w:pos="1080"/>
        </w:tabs>
        <w:jc w:val="both"/>
        <w:rPr>
          <w:rFonts w:ascii="Arial" w:hAnsi="Arial" w:cs="Arial"/>
          <w:i/>
          <w:color w:val="0F243E" w:themeColor="text2" w:themeShade="80"/>
          <w:lang w:val="pt-BR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Nassif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Rama y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Tedesco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El Sistema educativo en América Latina.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</w:t>
      </w:r>
      <w:r w:rsidRPr="00BF5690">
        <w:rPr>
          <w:rFonts w:ascii="Arial" w:hAnsi="Arial" w:cs="Arial"/>
          <w:i/>
          <w:color w:val="0F243E" w:themeColor="text2" w:themeShade="80"/>
          <w:lang w:val="pt-BR"/>
        </w:rPr>
        <w:t>UNESCO, CEPAL. Bs. As. Kapelusz,  1984.</w:t>
      </w:r>
    </w:p>
    <w:p w14:paraId="304427C7" w14:textId="77777777" w:rsidR="00A1141A" w:rsidRPr="00153EF0" w:rsidRDefault="00A1141A" w:rsidP="00A1141A">
      <w:pPr>
        <w:pStyle w:val="Prrafodelista"/>
        <w:spacing w:before="24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Ministerio de Ed. De la Nación.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Especialización </w:t>
      </w:r>
      <w:proofErr w:type="gram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Docente  en</w:t>
      </w:r>
      <w:proofErr w:type="gram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Políticas  Socioeducativas. </w:t>
      </w:r>
      <w:proofErr w:type="gram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PPL  clase</w:t>
      </w:r>
      <w:proofErr w:type="gram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2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Bs.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As. ,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2015.</w:t>
      </w:r>
    </w:p>
    <w:p w14:paraId="41B6C513" w14:textId="77777777" w:rsidR="00A1141A" w:rsidRPr="00153EF0" w:rsidRDefault="00A1141A" w:rsidP="00A1141A">
      <w:pPr>
        <w:tabs>
          <w:tab w:val="num" w:pos="1080"/>
        </w:tabs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BB34432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Documental: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Uso mis manos, uso mis </w:t>
      </w:r>
      <w:proofErr w:type="gram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ideas</w:t>
      </w:r>
      <w:r w:rsidR="00153EF0">
        <w:rPr>
          <w:rFonts w:ascii="Arial" w:hAnsi="Arial" w:cs="Arial"/>
          <w:b/>
          <w:i/>
          <w:color w:val="0F243E" w:themeColor="text2" w:themeShade="80"/>
          <w:lang w:val="es-ES_tradnl"/>
        </w:rPr>
        <w:t>,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2002.</w:t>
      </w:r>
    </w:p>
    <w:p w14:paraId="474BE0EB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45007E66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Tiempo estimado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:  agosto- septiembre</w:t>
      </w:r>
    </w:p>
    <w:p w14:paraId="3EFDDF87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C751B08" w14:textId="77777777" w:rsidR="00A1141A" w:rsidRPr="00153EF0" w:rsidRDefault="00A1141A" w:rsidP="00A1141A">
      <w:pPr>
        <w:jc w:val="both"/>
        <w:rPr>
          <w:rFonts w:ascii="Arial" w:hAnsi="Arial" w:cs="Arial"/>
          <w:b/>
          <w:i/>
          <w:color w:val="0F243E" w:themeColor="text2" w:themeShade="80"/>
          <w:lang w:val="es-ES_tradnl"/>
        </w:rPr>
      </w:pPr>
    </w:p>
    <w:p w14:paraId="239AC558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UNIDAD IV: Educación en la Posmodernidad</w:t>
      </w:r>
    </w:p>
    <w:p w14:paraId="039186BB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0EA6B89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La educación en el contexto de la posmodernidad.</w:t>
      </w:r>
    </w:p>
    <w:p w14:paraId="3C2C11B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La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educación  argentina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en los ´90.</w:t>
      </w:r>
    </w:p>
    <w:p w14:paraId="01B0034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Reflexiones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pedagógicas  sobre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la complejidad de los problemas educativos actuales en la Argentina.</w:t>
      </w:r>
    </w:p>
    <w:p w14:paraId="587B8F4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Recuperación del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valor  político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de la educación. </w:t>
      </w:r>
    </w:p>
    <w:p w14:paraId="17340BE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Universalización de la cultura a través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de  un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vínculo pedagógico no autoritario.</w:t>
      </w:r>
    </w:p>
    <w:p w14:paraId="42BA8D57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9CD2152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u w:val="single"/>
          <w:lang w:val="es-ES_tradnl"/>
        </w:rPr>
        <w:t>Bibliografía obligatoria</w:t>
      </w:r>
    </w:p>
    <w:p w14:paraId="1D83EAAF" w14:textId="77777777" w:rsidR="00A1141A" w:rsidRPr="00153EF0" w:rsidRDefault="00A1141A" w:rsidP="00A1141A">
      <w:pPr>
        <w:pStyle w:val="Prrafodelista"/>
        <w:ind w:left="0"/>
        <w:jc w:val="both"/>
        <w:rPr>
          <w:rFonts w:ascii="Arial" w:hAnsi="Arial" w:cs="Arial"/>
          <w:color w:val="0F243E" w:themeColor="text2" w:themeShade="80"/>
        </w:rPr>
      </w:pPr>
    </w:p>
    <w:p w14:paraId="68CEEF46" w14:textId="77777777" w:rsidR="00A1141A" w:rsidRPr="00153EF0" w:rsidRDefault="00A1141A" w:rsidP="00A1141A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Gvirtz,S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;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Grinberg,S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.; Abregú, V.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La educación ayer, hoy y mañana. El ABC de la Pedagogía.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Bs. As.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Aique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, 2012. Cap.5</w:t>
      </w:r>
    </w:p>
    <w:p w14:paraId="65BE3701" w14:textId="77777777" w:rsidR="00A1141A" w:rsidRPr="00153EF0" w:rsidRDefault="00A1141A" w:rsidP="00A1141A">
      <w:pPr>
        <w:pStyle w:val="Prrafodelista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4D5114C1" w14:textId="77777777" w:rsidR="00A1141A" w:rsidRPr="00153EF0" w:rsidRDefault="00A1141A" w:rsidP="00A1141A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Martinis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P.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Pensar la escuela más allá del contexto.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Montevideo, Psico Libros; 2006.</w:t>
      </w:r>
    </w:p>
    <w:p w14:paraId="3A95FF77" w14:textId="77777777" w:rsidR="00A1141A" w:rsidRPr="00153EF0" w:rsidRDefault="00A1141A" w:rsidP="00A1141A">
      <w:pPr>
        <w:pStyle w:val="Prrafodelista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776396B" w14:textId="77777777" w:rsidR="00A1141A" w:rsidRPr="00153EF0" w:rsidRDefault="00A1141A" w:rsidP="00A1141A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McLaren; Peter.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Conferencia magistral: Una pedagogía del compromiso.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Bs. As. UNLZ (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Fac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de Cs. Sociales), 2010.</w:t>
      </w:r>
    </w:p>
    <w:p w14:paraId="7D8598C1" w14:textId="77777777" w:rsidR="00A1141A" w:rsidRPr="00153EF0" w:rsidRDefault="00A1141A" w:rsidP="00A1141A">
      <w:pPr>
        <w:pStyle w:val="Prrafodelista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94230FB" w14:textId="77777777" w:rsidR="00A1141A" w:rsidRPr="00153EF0" w:rsidRDefault="00A1141A" w:rsidP="00A1141A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Ministerio de Ed. De la Nación.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Especialización Docente del nivel Superior en Políticas y Programas </w:t>
      </w:r>
      <w:proofErr w:type="spellStart"/>
      <w:proofErr w:type="gramStart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Socioeducativos.PPL</w:t>
      </w:r>
      <w:proofErr w:type="spell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 clase</w:t>
      </w:r>
      <w:proofErr w:type="gramEnd"/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5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>. Bs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</w:t>
      </w:r>
      <w:proofErr w:type="gram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As. ,</w:t>
      </w:r>
      <w:proofErr w:type="gram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 2015.</w:t>
      </w:r>
    </w:p>
    <w:p w14:paraId="4B5DD33E" w14:textId="77777777" w:rsidR="00A1141A" w:rsidRPr="00153EF0" w:rsidRDefault="00A1141A" w:rsidP="00955101">
      <w:pPr>
        <w:pStyle w:val="Prrafodelista"/>
        <w:spacing w:after="200"/>
        <w:ind w:left="0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97DC4FE" w14:textId="77777777" w:rsidR="00A1141A" w:rsidRPr="00153EF0" w:rsidRDefault="00A1141A" w:rsidP="00A1141A">
      <w:pPr>
        <w:pStyle w:val="Prrafodelista"/>
        <w:spacing w:after="200" w:line="276" w:lineRule="auto"/>
        <w:ind w:left="0"/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Serra, M. S.; </w:t>
      </w: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Canciano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, E.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Las condiciones de enseñanza en contextos críticos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. Ministerio de Educación, Bs. As. 2006.</w:t>
      </w:r>
    </w:p>
    <w:p w14:paraId="18FB2B74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proofErr w:type="spellStart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Suteba</w:t>
      </w:r>
      <w:proofErr w:type="spellEnd"/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 xml:space="preserve">. Documental: 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Caminar (rompiendo esquemas)</w:t>
      </w:r>
      <w:r w:rsidR="00153EF0">
        <w:rPr>
          <w:rFonts w:ascii="Arial" w:hAnsi="Arial" w:cs="Arial"/>
          <w:i/>
          <w:color w:val="0F243E" w:themeColor="text2" w:themeShade="80"/>
          <w:lang w:val="es-ES_tradnl"/>
        </w:rPr>
        <w:t>, 2002.</w:t>
      </w:r>
    </w:p>
    <w:p w14:paraId="76BEB92F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DD33B2F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Tiempo estimado</w:t>
      </w: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:  octubre- noviembre</w:t>
      </w:r>
    </w:p>
    <w:p w14:paraId="7B923E55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346E2EED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020B113E" w14:textId="77777777" w:rsidR="00A1141A" w:rsidRPr="00153EF0" w:rsidRDefault="00A1141A" w:rsidP="00A1141A">
      <w:pPr>
        <w:autoSpaceDE w:val="0"/>
        <w:autoSpaceDN w:val="0"/>
        <w:adjustRightInd w:val="0"/>
        <w:rPr>
          <w:rFonts w:ascii="Arial" w:hAnsi="Arial" w:cs="Arial"/>
          <w:b/>
          <w:i/>
          <w:color w:val="0F243E" w:themeColor="text2" w:themeShade="80"/>
          <w:u w:val="single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</w:rPr>
        <w:t>ESTRATEGIAS METODOLÓGICAS:</w:t>
      </w:r>
    </w:p>
    <w:p w14:paraId="7DA13483" w14:textId="77777777" w:rsidR="00A1141A" w:rsidRPr="00153EF0" w:rsidRDefault="00A1141A" w:rsidP="00A1141A">
      <w:p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  <w:u w:val="single"/>
        </w:rPr>
      </w:pPr>
    </w:p>
    <w:p w14:paraId="2C688040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Análisis de diversas situaciones problemáticas.</w:t>
      </w:r>
    </w:p>
    <w:p w14:paraId="400CEEFE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Investigación bibliográfica.</w:t>
      </w:r>
    </w:p>
    <w:p w14:paraId="4B3954A6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 xml:space="preserve">Elaboración de cuadros integradores.  </w:t>
      </w:r>
    </w:p>
    <w:p w14:paraId="71713DFE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Debates.</w:t>
      </w:r>
    </w:p>
    <w:p w14:paraId="20642360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Exposición dialogada.</w:t>
      </w:r>
    </w:p>
    <w:p w14:paraId="3CADD525" w14:textId="77777777" w:rsidR="00A1141A" w:rsidRPr="00153EF0" w:rsidRDefault="00A1141A" w:rsidP="00A1141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 xml:space="preserve">Análisis </w:t>
      </w:r>
      <w:proofErr w:type="gramStart"/>
      <w:r w:rsidRPr="00153EF0">
        <w:rPr>
          <w:rFonts w:ascii="Arial" w:hAnsi="Arial" w:cs="Arial"/>
          <w:i/>
          <w:color w:val="0F243E" w:themeColor="text2" w:themeShade="80"/>
        </w:rPr>
        <w:t>de  artículos</w:t>
      </w:r>
      <w:proofErr w:type="gramEnd"/>
      <w:r w:rsidRPr="00153EF0">
        <w:rPr>
          <w:rFonts w:ascii="Arial" w:hAnsi="Arial" w:cs="Arial"/>
          <w:i/>
          <w:color w:val="0F243E" w:themeColor="text2" w:themeShade="80"/>
        </w:rPr>
        <w:t>, imágenes y fragmentos de textos a partir de los conceptos trabajados.</w:t>
      </w:r>
    </w:p>
    <w:p w14:paraId="73D6B9EA" w14:textId="77777777" w:rsidR="00A1141A" w:rsidRPr="00153EF0" w:rsidRDefault="00A1141A" w:rsidP="00A1141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Establecer relaciones entre conceptos.</w:t>
      </w:r>
    </w:p>
    <w:p w14:paraId="0FA73F2C" w14:textId="77777777" w:rsidR="00955101" w:rsidRPr="00153EF0" w:rsidRDefault="00955101" w:rsidP="00955101">
      <w:pPr>
        <w:autoSpaceDE w:val="0"/>
        <w:autoSpaceDN w:val="0"/>
        <w:adjustRightInd w:val="0"/>
        <w:ind w:left="720"/>
        <w:rPr>
          <w:rFonts w:ascii="Arial" w:hAnsi="Arial" w:cs="Arial"/>
          <w:i/>
          <w:color w:val="0F243E" w:themeColor="text2" w:themeShade="80"/>
        </w:rPr>
      </w:pPr>
    </w:p>
    <w:p w14:paraId="1E2F2386" w14:textId="77777777" w:rsidR="00A1141A" w:rsidRPr="00153EF0" w:rsidRDefault="00A1141A" w:rsidP="00A1141A">
      <w:pPr>
        <w:autoSpaceDE w:val="0"/>
        <w:autoSpaceDN w:val="0"/>
        <w:adjustRightInd w:val="0"/>
        <w:rPr>
          <w:rFonts w:ascii="Arial" w:hAnsi="Arial" w:cs="Arial"/>
          <w:b/>
          <w:i/>
          <w:color w:val="0F243E" w:themeColor="text2" w:themeShade="80"/>
          <w:u w:val="single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</w:rPr>
        <w:t xml:space="preserve">RECURSOS </w:t>
      </w:r>
    </w:p>
    <w:p w14:paraId="1172896C" w14:textId="77777777" w:rsidR="00A1141A" w:rsidRPr="00153EF0" w:rsidRDefault="00A1141A" w:rsidP="00A1141A">
      <w:pPr>
        <w:tabs>
          <w:tab w:val="num" w:pos="1440"/>
        </w:tabs>
        <w:ind w:left="360"/>
        <w:rPr>
          <w:rFonts w:ascii="Arial" w:hAnsi="Arial" w:cs="Arial"/>
          <w:i/>
          <w:color w:val="0F243E" w:themeColor="text2" w:themeShade="80"/>
          <w:sz w:val="26"/>
          <w:szCs w:val="26"/>
        </w:rPr>
      </w:pPr>
    </w:p>
    <w:p w14:paraId="720EC17C" w14:textId="77777777" w:rsidR="00A1141A" w:rsidRPr="00153EF0" w:rsidRDefault="00A1141A" w:rsidP="00A1141A">
      <w:pPr>
        <w:numPr>
          <w:ilvl w:val="1"/>
          <w:numId w:val="3"/>
        </w:numPr>
        <w:tabs>
          <w:tab w:val="num" w:pos="900"/>
        </w:tabs>
        <w:ind w:hanging="108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Textos de diversos autores.</w:t>
      </w:r>
    </w:p>
    <w:p w14:paraId="3B21964D" w14:textId="77777777" w:rsidR="00A1141A" w:rsidRPr="00153EF0" w:rsidRDefault="00A1141A" w:rsidP="00A1141A">
      <w:pPr>
        <w:numPr>
          <w:ilvl w:val="1"/>
          <w:numId w:val="3"/>
        </w:numPr>
        <w:tabs>
          <w:tab w:val="num" w:pos="900"/>
        </w:tabs>
        <w:ind w:hanging="108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Artículos periodísticos.</w:t>
      </w:r>
    </w:p>
    <w:p w14:paraId="128FE350" w14:textId="77777777" w:rsidR="00A1141A" w:rsidRPr="00153EF0" w:rsidRDefault="00A1141A" w:rsidP="00A1141A">
      <w:pPr>
        <w:numPr>
          <w:ilvl w:val="1"/>
          <w:numId w:val="3"/>
        </w:numPr>
        <w:tabs>
          <w:tab w:val="num" w:pos="900"/>
        </w:tabs>
        <w:ind w:hanging="108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Viñetas- imágenes.</w:t>
      </w:r>
    </w:p>
    <w:p w14:paraId="351037A6" w14:textId="77777777" w:rsidR="00A1141A" w:rsidRPr="00153EF0" w:rsidRDefault="00A1141A" w:rsidP="00A1141A">
      <w:pPr>
        <w:numPr>
          <w:ilvl w:val="1"/>
          <w:numId w:val="3"/>
        </w:numPr>
        <w:tabs>
          <w:tab w:val="num" w:pos="900"/>
        </w:tabs>
        <w:ind w:hanging="1080"/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Tarjetas con situaciones problemáticas.</w:t>
      </w:r>
    </w:p>
    <w:p w14:paraId="4A33AF00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sz w:val="32"/>
          <w:szCs w:val="32"/>
          <w:u w:val="single"/>
        </w:rPr>
      </w:pPr>
      <w:r w:rsidRPr="00153EF0">
        <w:rPr>
          <w:rFonts w:ascii="Arial" w:hAnsi="Arial" w:cs="Arial"/>
          <w:i/>
          <w:color w:val="0F243E" w:themeColor="text2" w:themeShade="80"/>
          <w:sz w:val="32"/>
          <w:szCs w:val="32"/>
          <w:u w:val="single"/>
        </w:rPr>
        <w:lastRenderedPageBreak/>
        <w:t>EVALUACIÓN</w:t>
      </w:r>
    </w:p>
    <w:p w14:paraId="3BCD68B8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</w:rPr>
      </w:pPr>
    </w:p>
    <w:p w14:paraId="52372CE4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</w:rPr>
        <w:t xml:space="preserve">-CRITERIOS DE ACREDITACIÓN </w:t>
      </w:r>
    </w:p>
    <w:p w14:paraId="29C1FCB3" w14:textId="77777777" w:rsidR="00A1141A" w:rsidRPr="00153EF0" w:rsidRDefault="00A1141A" w:rsidP="00A1141A">
      <w:pPr>
        <w:rPr>
          <w:rFonts w:ascii="Arial" w:hAnsi="Arial" w:cs="Arial"/>
          <w:b/>
          <w:i/>
          <w:color w:val="0F243E" w:themeColor="text2" w:themeShade="80"/>
          <w:u w:val="single"/>
        </w:rPr>
      </w:pPr>
    </w:p>
    <w:p w14:paraId="120818A6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b/>
          <w:i/>
          <w:color w:val="0F243E" w:themeColor="text2" w:themeShade="80"/>
          <w:sz w:val="28"/>
          <w:szCs w:val="28"/>
          <w:u w:val="single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Lectura de la totalidad de la bibliografía.</w:t>
      </w:r>
    </w:p>
    <w:p w14:paraId="5BA665EE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b/>
          <w:i/>
          <w:color w:val="0F243E" w:themeColor="text2" w:themeShade="80"/>
          <w:u w:val="single"/>
        </w:rPr>
      </w:pPr>
      <w:r w:rsidRPr="00153EF0">
        <w:rPr>
          <w:rFonts w:ascii="Arial" w:hAnsi="Arial" w:cs="Arial"/>
          <w:i/>
          <w:color w:val="0F243E" w:themeColor="text2" w:themeShade="80"/>
        </w:rPr>
        <w:t>Responsabilidad en la realización de las tareas áulicas y domiciliarias.</w:t>
      </w:r>
    </w:p>
    <w:p w14:paraId="19A13C32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</w:rPr>
      </w:pPr>
      <w:proofErr w:type="gramStart"/>
      <w:r w:rsidRPr="00153EF0">
        <w:rPr>
          <w:rFonts w:ascii="Arial" w:hAnsi="Arial" w:cs="Arial"/>
          <w:i/>
          <w:color w:val="0F243E" w:themeColor="text2" w:themeShade="80"/>
        </w:rPr>
        <w:t>Participación activa</w:t>
      </w:r>
      <w:proofErr w:type="gramEnd"/>
      <w:r w:rsidRPr="00153EF0">
        <w:rPr>
          <w:rFonts w:ascii="Arial" w:hAnsi="Arial" w:cs="Arial"/>
          <w:i/>
          <w:color w:val="0F243E" w:themeColor="text2" w:themeShade="80"/>
        </w:rPr>
        <w:t xml:space="preserve"> en las clases.</w:t>
      </w:r>
    </w:p>
    <w:p w14:paraId="598F10BF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 xml:space="preserve">Utilización adecuada de los conceptos </w:t>
      </w:r>
      <w:proofErr w:type="gramStart"/>
      <w:r w:rsidRPr="00153EF0">
        <w:rPr>
          <w:rFonts w:ascii="Arial" w:hAnsi="Arial" w:cs="Arial"/>
          <w:i/>
          <w:color w:val="0F243E" w:themeColor="text2" w:themeShade="80"/>
        </w:rPr>
        <w:t>pedagógicos  en</w:t>
      </w:r>
      <w:proofErr w:type="gramEnd"/>
      <w:r w:rsidRPr="00153EF0">
        <w:rPr>
          <w:rFonts w:ascii="Arial" w:hAnsi="Arial" w:cs="Arial"/>
          <w:i/>
          <w:color w:val="0F243E" w:themeColor="text2" w:themeShade="80"/>
        </w:rPr>
        <w:t xml:space="preserve"> el análisis de diversas situaciones problemáticas.</w:t>
      </w:r>
    </w:p>
    <w:p w14:paraId="60824D45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 xml:space="preserve">Análisis crítico de la </w:t>
      </w:r>
      <w:proofErr w:type="gramStart"/>
      <w:r w:rsidRPr="00153EF0">
        <w:rPr>
          <w:rFonts w:ascii="Arial" w:hAnsi="Arial" w:cs="Arial"/>
          <w:i/>
          <w:color w:val="0F243E" w:themeColor="text2" w:themeShade="80"/>
        </w:rPr>
        <w:t>realidad  educativa</w:t>
      </w:r>
      <w:proofErr w:type="gramEnd"/>
      <w:r w:rsidRPr="00153EF0">
        <w:rPr>
          <w:rFonts w:ascii="Arial" w:hAnsi="Arial" w:cs="Arial"/>
          <w:i/>
          <w:color w:val="0F243E" w:themeColor="text2" w:themeShade="80"/>
        </w:rPr>
        <w:t xml:space="preserve"> actual.</w:t>
      </w:r>
    </w:p>
    <w:p w14:paraId="01DB40C3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Adecuada interpretación de las consignas dadas.</w:t>
      </w:r>
    </w:p>
    <w:p w14:paraId="53503382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Manejo del vocabulario específico.</w:t>
      </w:r>
    </w:p>
    <w:p w14:paraId="46D4E4AF" w14:textId="77777777" w:rsidR="00A1141A" w:rsidRPr="00153EF0" w:rsidRDefault="00A1141A" w:rsidP="00A1141A">
      <w:pPr>
        <w:numPr>
          <w:ilvl w:val="0"/>
          <w:numId w:val="5"/>
        </w:num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Establecer relaciones entre los conceptos trabajados.</w:t>
      </w:r>
    </w:p>
    <w:p w14:paraId="7055F1FA" w14:textId="77777777" w:rsidR="00A1141A" w:rsidRPr="00153EF0" w:rsidRDefault="00A1141A" w:rsidP="00A1141A">
      <w:pPr>
        <w:ind w:left="360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2C30ECF2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*</w:t>
      </w:r>
      <w:r w:rsidRPr="00153EF0">
        <w:rPr>
          <w:rFonts w:ascii="Arial" w:hAnsi="Arial" w:cs="Arial"/>
          <w:i/>
          <w:color w:val="0F243E" w:themeColor="text2" w:themeShade="80"/>
          <w:u w:val="single"/>
          <w:lang w:val="es-ES_tradnl"/>
        </w:rPr>
        <w:t>Para acreditar la materia:</w:t>
      </w:r>
    </w:p>
    <w:p w14:paraId="6BFED3C2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u w:val="single"/>
          <w:lang w:val="es-ES_tradnl"/>
        </w:rPr>
      </w:pPr>
    </w:p>
    <w:p w14:paraId="2A0E9D22" w14:textId="77777777" w:rsidR="00A1141A" w:rsidRPr="00153EF0" w:rsidRDefault="00A1141A" w:rsidP="00A1141A">
      <w:pPr>
        <w:numPr>
          <w:ilvl w:val="0"/>
          <w:numId w:val="2"/>
        </w:num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Cumplir con el porcentaje de asistencia requerido.</w:t>
      </w:r>
    </w:p>
    <w:p w14:paraId="0DAEEB4F" w14:textId="77777777" w:rsidR="00A1141A" w:rsidRPr="00153EF0" w:rsidRDefault="00A1141A" w:rsidP="00A1141A">
      <w:pPr>
        <w:numPr>
          <w:ilvl w:val="0"/>
          <w:numId w:val="2"/>
        </w:numPr>
        <w:rPr>
          <w:rFonts w:ascii="Arial" w:hAnsi="Arial" w:cs="Arial"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i/>
          <w:color w:val="0F243E" w:themeColor="text2" w:themeShade="80"/>
          <w:lang w:val="es-ES_tradnl"/>
        </w:rPr>
        <w:t>Aprobar   los dos parciales y trabajos prácticos.</w:t>
      </w:r>
    </w:p>
    <w:p w14:paraId="0A85F3E5" w14:textId="77777777" w:rsidR="00A1141A" w:rsidRPr="00153EF0" w:rsidRDefault="00A1141A" w:rsidP="00A1141A">
      <w:pPr>
        <w:numPr>
          <w:ilvl w:val="0"/>
          <w:numId w:val="2"/>
        </w:numPr>
        <w:rPr>
          <w:rFonts w:ascii="Arial" w:hAnsi="Arial" w:cs="Arial"/>
          <w:b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Examen final integrador (Se deberá presentar un mapa conceptual que refleje la relación ent</w:t>
      </w:r>
      <w:r w:rsidR="00153EF0">
        <w:rPr>
          <w:rFonts w:ascii="Arial" w:hAnsi="Arial" w:cs="Arial"/>
          <w:b/>
          <w:i/>
          <w:color w:val="0F243E" w:themeColor="text2" w:themeShade="80"/>
          <w:lang w:val="es-ES_tradnl"/>
        </w:rPr>
        <w:t>re los contenidos de la materia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.</w:t>
      </w:r>
      <w:r w:rsid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Es de carácter obligatorio).</w:t>
      </w:r>
    </w:p>
    <w:p w14:paraId="4FEA4286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69070092" w14:textId="77777777" w:rsidR="00A1141A" w:rsidRPr="00153EF0" w:rsidRDefault="00A1141A" w:rsidP="00A1141A">
      <w:pPr>
        <w:ind w:left="360"/>
        <w:rPr>
          <w:rFonts w:ascii="Arial" w:hAnsi="Arial" w:cs="Arial"/>
          <w:b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1er parcial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:</w:t>
      </w:r>
      <w:r w:rsidR="006B79B6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  27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de junio</w:t>
      </w:r>
    </w:p>
    <w:p w14:paraId="4CADBE79" w14:textId="77777777" w:rsidR="00A1141A" w:rsidRPr="00153EF0" w:rsidRDefault="00A1141A" w:rsidP="00A1141A">
      <w:pPr>
        <w:ind w:left="360"/>
        <w:rPr>
          <w:rFonts w:ascii="Arial" w:hAnsi="Arial" w:cs="Arial"/>
          <w:b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2do parcial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: </w:t>
      </w:r>
      <w:r w:rsidR="006B79B6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17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de octubre</w:t>
      </w:r>
    </w:p>
    <w:p w14:paraId="40711534" w14:textId="77777777" w:rsidR="00C60ECF" w:rsidRPr="00153EF0" w:rsidRDefault="00C60ECF" w:rsidP="00A1141A">
      <w:pPr>
        <w:ind w:left="360"/>
        <w:rPr>
          <w:rFonts w:ascii="Arial" w:hAnsi="Arial" w:cs="Arial"/>
          <w:b/>
          <w:i/>
          <w:color w:val="0F243E" w:themeColor="text2" w:themeShade="80"/>
          <w:lang w:val="es-ES_tradnl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  <w:lang w:val="es-ES_tradnl"/>
        </w:rPr>
        <w:t>Recuperatorio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:</w:t>
      </w:r>
      <w:r w:rsidR="006B79B6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 xml:space="preserve"> </w:t>
      </w:r>
      <w:r w:rsidR="004326F2"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____</w:t>
      </w:r>
      <w:r w:rsidRPr="00153EF0">
        <w:rPr>
          <w:rFonts w:ascii="Arial" w:hAnsi="Arial" w:cs="Arial"/>
          <w:b/>
          <w:i/>
          <w:color w:val="0F243E" w:themeColor="text2" w:themeShade="80"/>
          <w:lang w:val="es-ES_tradnl"/>
        </w:rPr>
        <w:t>de noviembre</w:t>
      </w:r>
    </w:p>
    <w:p w14:paraId="4D473F49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  <w:sz w:val="26"/>
          <w:szCs w:val="26"/>
          <w:lang w:val="es-ES_tradnl"/>
        </w:rPr>
      </w:pPr>
    </w:p>
    <w:p w14:paraId="4153B3BA" w14:textId="77777777" w:rsidR="00A1141A" w:rsidRPr="00153EF0" w:rsidRDefault="00A1141A" w:rsidP="00A1141A">
      <w:pPr>
        <w:ind w:left="360"/>
        <w:rPr>
          <w:rFonts w:ascii="Arial" w:hAnsi="Arial" w:cs="Arial"/>
          <w:b/>
          <w:i/>
          <w:color w:val="0F243E" w:themeColor="text2" w:themeShade="80"/>
          <w:u w:val="single"/>
        </w:rPr>
      </w:pPr>
      <w:r w:rsidRPr="00153EF0">
        <w:rPr>
          <w:rFonts w:ascii="Arial" w:hAnsi="Arial" w:cs="Arial"/>
          <w:b/>
          <w:i/>
          <w:color w:val="0F243E" w:themeColor="text2" w:themeShade="80"/>
          <w:u w:val="single"/>
        </w:rPr>
        <w:t>-INSTRUMENTOS</w:t>
      </w:r>
    </w:p>
    <w:p w14:paraId="4322C91A" w14:textId="77777777" w:rsidR="00A1141A" w:rsidRPr="00153EF0" w:rsidRDefault="00A1141A" w:rsidP="00A1141A">
      <w:pPr>
        <w:ind w:left="360"/>
        <w:rPr>
          <w:rFonts w:ascii="Arial" w:hAnsi="Arial" w:cs="Arial"/>
          <w:b/>
          <w:i/>
          <w:color w:val="0F243E" w:themeColor="text2" w:themeShade="80"/>
          <w:u w:val="single"/>
        </w:rPr>
      </w:pPr>
    </w:p>
    <w:p w14:paraId="2889BED1" w14:textId="77777777" w:rsidR="00A1141A" w:rsidRPr="00153EF0" w:rsidRDefault="00A1141A" w:rsidP="00A1141A">
      <w:pPr>
        <w:numPr>
          <w:ilvl w:val="0"/>
          <w:numId w:val="4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Trabajos prácticos.</w:t>
      </w:r>
    </w:p>
    <w:p w14:paraId="476A1FA2" w14:textId="77777777" w:rsidR="00A1141A" w:rsidRPr="00153EF0" w:rsidRDefault="00A1141A" w:rsidP="00A1141A">
      <w:pPr>
        <w:numPr>
          <w:ilvl w:val="0"/>
          <w:numId w:val="4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Evaluaciones escritas presenciales.</w:t>
      </w:r>
    </w:p>
    <w:p w14:paraId="4D4C5D2C" w14:textId="77777777" w:rsidR="00A1141A" w:rsidRPr="00153EF0" w:rsidRDefault="00A1141A" w:rsidP="00A1141A">
      <w:pPr>
        <w:numPr>
          <w:ilvl w:val="0"/>
          <w:numId w:val="4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Defensa de trabajos.</w:t>
      </w:r>
    </w:p>
    <w:p w14:paraId="059F3A3A" w14:textId="77777777" w:rsidR="00A1141A" w:rsidRPr="00153EF0" w:rsidRDefault="00A1141A" w:rsidP="00A1141A">
      <w:pPr>
        <w:numPr>
          <w:ilvl w:val="0"/>
          <w:numId w:val="4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Exposición oral.</w:t>
      </w:r>
    </w:p>
    <w:p w14:paraId="4889835C" w14:textId="77777777" w:rsidR="00A1141A" w:rsidRPr="00153EF0" w:rsidRDefault="00A1141A" w:rsidP="00A1141A">
      <w:pPr>
        <w:numPr>
          <w:ilvl w:val="0"/>
          <w:numId w:val="4"/>
        </w:numPr>
        <w:rPr>
          <w:rFonts w:ascii="Arial" w:hAnsi="Arial" w:cs="Arial"/>
          <w:i/>
          <w:color w:val="0F243E" w:themeColor="text2" w:themeShade="80"/>
        </w:rPr>
      </w:pPr>
      <w:r w:rsidRPr="00153EF0">
        <w:rPr>
          <w:rFonts w:ascii="Arial" w:hAnsi="Arial" w:cs="Arial"/>
          <w:i/>
          <w:color w:val="0F243E" w:themeColor="text2" w:themeShade="80"/>
        </w:rPr>
        <w:t>Evaluación integradora.</w:t>
      </w:r>
    </w:p>
    <w:p w14:paraId="5E81346A" w14:textId="77777777" w:rsidR="00A1141A" w:rsidRPr="00153EF0" w:rsidRDefault="00A1141A" w:rsidP="00A1141A">
      <w:pPr>
        <w:rPr>
          <w:rFonts w:ascii="Arial" w:hAnsi="Arial" w:cs="Arial"/>
          <w:i/>
          <w:color w:val="0F243E" w:themeColor="text2" w:themeShade="80"/>
        </w:rPr>
      </w:pPr>
    </w:p>
    <w:p w14:paraId="1DC4B81A" w14:textId="77777777" w:rsidR="00A1141A" w:rsidRPr="00153EF0" w:rsidRDefault="00A1141A" w:rsidP="00A1141A">
      <w:pPr>
        <w:jc w:val="both"/>
        <w:rPr>
          <w:rFonts w:ascii="Arial" w:hAnsi="Arial" w:cs="Arial"/>
          <w:i/>
          <w:color w:val="0F243E" w:themeColor="text2" w:themeShade="80"/>
          <w:lang w:val="es-ES_tradnl"/>
        </w:rPr>
      </w:pPr>
    </w:p>
    <w:p w14:paraId="1ED77F03" w14:textId="77777777" w:rsidR="00736D3A" w:rsidRPr="00153EF0" w:rsidRDefault="00736D3A">
      <w:pPr>
        <w:rPr>
          <w:color w:val="0F243E" w:themeColor="text2" w:themeShade="80"/>
        </w:rPr>
      </w:pPr>
    </w:p>
    <w:sectPr w:rsidR="00736D3A" w:rsidRPr="00153EF0" w:rsidSect="00955101">
      <w:footerReference w:type="even" r:id="rId7"/>
      <w:footerReference w:type="default" r:id="rId8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F342" w14:textId="77777777" w:rsidR="00464E45" w:rsidRDefault="00464E45" w:rsidP="008F30E2">
      <w:r>
        <w:separator/>
      </w:r>
    </w:p>
  </w:endnote>
  <w:endnote w:type="continuationSeparator" w:id="0">
    <w:p w14:paraId="7276D6E0" w14:textId="77777777" w:rsidR="00464E45" w:rsidRDefault="00464E45" w:rsidP="008F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12B2F" w14:textId="77777777" w:rsidR="005336DD" w:rsidRDefault="006353E6" w:rsidP="00831C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0E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24CFE" w14:textId="77777777" w:rsidR="005336DD" w:rsidRDefault="00464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C6BF" w14:textId="77777777" w:rsidR="005336DD" w:rsidRDefault="006353E6" w:rsidP="00831C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0E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3EF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2A772D6" w14:textId="77777777" w:rsidR="005336DD" w:rsidRDefault="00464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94D3" w14:textId="77777777" w:rsidR="00464E45" w:rsidRDefault="00464E45" w:rsidP="008F30E2">
      <w:r>
        <w:separator/>
      </w:r>
    </w:p>
  </w:footnote>
  <w:footnote w:type="continuationSeparator" w:id="0">
    <w:p w14:paraId="386930C2" w14:textId="77777777" w:rsidR="00464E45" w:rsidRDefault="00464E45" w:rsidP="008F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C2812"/>
    <w:multiLevelType w:val="hybridMultilevel"/>
    <w:tmpl w:val="9EA6BE26"/>
    <w:lvl w:ilvl="0" w:tplc="BBA2D7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6"/>
        <w:szCs w:val="26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1EA6"/>
    <w:multiLevelType w:val="hybridMultilevel"/>
    <w:tmpl w:val="1C5A321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38AE1CBD"/>
    <w:multiLevelType w:val="hybridMultilevel"/>
    <w:tmpl w:val="1998494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1A"/>
    <w:rsid w:val="00153EF0"/>
    <w:rsid w:val="004326F2"/>
    <w:rsid w:val="00464E45"/>
    <w:rsid w:val="006353E6"/>
    <w:rsid w:val="006B79B6"/>
    <w:rsid w:val="00736D3A"/>
    <w:rsid w:val="007607DD"/>
    <w:rsid w:val="008F30E2"/>
    <w:rsid w:val="00906F07"/>
    <w:rsid w:val="00955101"/>
    <w:rsid w:val="009C63FF"/>
    <w:rsid w:val="00A1141A"/>
    <w:rsid w:val="00B868F9"/>
    <w:rsid w:val="00BF5690"/>
    <w:rsid w:val="00C52F86"/>
    <w:rsid w:val="00C60ECF"/>
    <w:rsid w:val="00C90D5B"/>
    <w:rsid w:val="00D9271A"/>
    <w:rsid w:val="00F2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A513E"/>
  <w15:docId w15:val="{6C8617B9-ED29-48E4-BE30-BF351DC6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11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11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1141A"/>
  </w:style>
  <w:style w:type="paragraph" w:styleId="Prrafodelista">
    <w:name w:val="List Paragraph"/>
    <w:basedOn w:val="Normal"/>
    <w:uiPriority w:val="34"/>
    <w:qFormat/>
    <w:rsid w:val="00A1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1740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Marite Sarthe</cp:lastModifiedBy>
  <cp:revision>2</cp:revision>
  <cp:lastPrinted>2019-05-16T20:16:00Z</cp:lastPrinted>
  <dcterms:created xsi:type="dcterms:W3CDTF">2019-06-19T22:27:00Z</dcterms:created>
  <dcterms:modified xsi:type="dcterms:W3CDTF">2019-06-19T22:27:00Z</dcterms:modified>
</cp:coreProperties>
</file>